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00"/>
        <w:jc w:val="left"/>
      </w:pPr>
      <w:r>
        <w:drawing>
          <wp:inline distT="0" distB="0" distL="0" distR="0">
            <wp:extent cx="53340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line="252"/>
      </w:pPr>
      <w:r>
        <w:rPr>
          <w:rFonts w:ascii="Calibri" w:cs="Calibri" w:eastAsia="Calibri" w:hAnsi="Calibri"/>
          <w:b/>
          <w:bCs/>
          <w:color w:val="3D1576"/>
          <w:sz w:val="18"/>
          <w:szCs w:val="18"/>
        </w:rPr>
        <w:t xml:space="preserve">SAFE AI TRANSPARENCY CARD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A0E25"/>
          <w:sz w:val="40"/>
          <w:szCs w:val="40"/>
        </w:rPr>
        <w:t xml:space="preserve">Writing an evaluation report with Opti'</w:t>
      </w:r>
    </w:p>
    <w:p>
      <w:pPr>
        <w:spacing w:after="60" w:line="252"/>
      </w:pPr>
      <w:r>
        <w:rPr>
          <w:rFonts w:ascii="Calibri" w:cs="Calibri" w:eastAsia="Calibri" w:hAnsi="Calibri"/>
          <w:color w:val="5A4878"/>
          <w:sz w:val="24"/>
          <w:szCs w:val="24"/>
        </w:rPr>
        <w:t xml:space="preserve">Opti Gemba narrative report module</w:t>
      </w:r>
    </w:p>
    <w:p>
      <w:pPr>
        <w:spacing w:after="40" w:line="252"/>
      </w:pPr>
      <w:r>
        <w:rPr>
          <w:rFonts w:ascii="Calibri" w:cs="Calibri" w:eastAsia="Calibri" w:hAnsi="Calibri"/>
          <w:color w:val="5A4878"/>
          <w:sz w:val="20"/>
          <w:szCs w:val="20"/>
        </w:rPr>
        <w:t xml:space="preserve">Lean version (Tier 1), pre-filled by Opti'</w:t>
      </w:r>
    </w:p>
    <w:p>
      <w:pPr>
        <w:spacing w:after="40" w:line="252"/>
      </w:pPr>
      <w:r>
        <w:rPr>
          <w:rFonts w:ascii="Calibri" w:cs="Calibri" w:eastAsia="Calibri" w:hAnsi="Calibri"/>
          <w:color w:val="5A4878"/>
          <w:sz w:val="18"/>
          <w:szCs w:val="18"/>
        </w:rPr>
        <w:t xml:space="preserve">Describes the tool as it works on 26 September 2026.</w:t>
      </w:r>
    </w:p>
    <w:p>
      <w:pPr>
        <w:spacing w:after="240" w:line="252"/>
      </w:pPr>
      <w:r>
        <w:rPr>
          <w:rFonts w:ascii="Calibri" w:cs="Calibri" w:eastAsia="Calibri" w:hAnsi="Calibri"/>
          <w:color w:val="5A4878"/>
          <w:sz w:val="18"/>
          <w:szCs w:val="18"/>
        </w:rPr>
        <w:t xml:space="preserve">Structure: SAFE AI Tools &amp; Guidance v1.1, CDAC Network, 2026 (Lean card).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3D1576" w:sz="24"/>
              <w:bottom w:val="none" w:color="FFFFFF" w:sz="0"/>
              <w:right w:val="none" w:color="FFFFFF" w:sz="0"/>
            </w:tcBorders>
            <w:shd w:fill="F4EAFA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3D1576"/>
                <w:sz w:val="21"/>
                <w:szCs w:val="21"/>
              </w:rPr>
              <w:t xml:space="preserve">How to use this document</w:t>
            </w:r>
          </w:p>
          <w:p>
            <w:pPr>
              <w:spacing w:after="60" w:line="252"/>
            </w:pP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This card follows the six sections of the SAFE AI Lean Transparency Card. </w:t>
            </w:r>
            <w:r>
              <w:rPr>
                <w:rFonts w:ascii="Calibri" w:cs="Calibri" w:eastAsia="Calibri" w:hAnsi="Calibri"/>
                <w:b/>
                <w:bCs/>
                <w:color w:val="1A0E25"/>
                <w:sz w:val="20"/>
                <w:szCs w:val="20"/>
              </w:rPr>
              <w:t xml:space="preserve">Opti' has filled in what it knows about its own tool</w:t>
            </w: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: what it does, the data it uses, its safeguards and its limitations.</w:t>
            </w:r>
          </w:p>
          <w:p>
            <w:pPr>
              <w:spacing w:after="6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20"/>
                <w:szCs w:val="20"/>
              </w:rPr>
              <w:t xml:space="preserve">Your organisation completes what only it knows</w:t>
            </w: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: the context of use, the people accountable, the decisions taken. These fields are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20"/>
                <w:szCs w:val="20"/>
                <w:highlight w:val="yellow"/>
                <w:highlightCs w:val="yellow"/>
              </w:rPr>
              <w:t xml:space="preserve">[highlighted in yellow]</w:t>
            </w: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.</w:t>
            </w:r>
          </w:p>
          <w:p>
            <w:pPr>
              <w:spacing w:after="60" w:line="252"/>
            </w:pP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The red line answers in section 2 are </w:t>
            </w:r>
            <w:r>
              <w:rPr>
                <w:rFonts w:ascii="Calibri" w:cs="Calibri" w:eastAsia="Calibri" w:hAnsi="Calibri"/>
                <w:b/>
                <w:bCs/>
                <w:color w:val="1A0E25"/>
                <w:sz w:val="20"/>
                <w:szCs w:val="20"/>
              </w:rPr>
              <w:t xml:space="preserve">pre-ticked with their rationale</w:t>
            </w: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: they are proposals to confirm, not decisions taken on your behalf.</w:t>
            </w:r>
          </w:p>
          <w:p>
            <w:pPr>
              <w:spacing w:after="60" w:line="252"/>
            </w:pP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The card commits no one until the Senior Responsible Owner has reviewed, completed and signed it. The document is editable: adapt it to your organisation.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A5A00" w:sz="24"/>
              <w:bottom w:val="none" w:color="FFFFFF" w:sz="0"/>
              <w:right w:val="none" w:color="FFFFFF" w:sz="0"/>
            </w:tcBorders>
            <w:shd w:fill="FFF4D6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8A5A00"/>
                <w:sz w:val="21"/>
                <w:szCs w:val="21"/>
              </w:rPr>
              <w:t xml:space="preserve">Why the Lean version</w:t>
            </w:r>
          </w:p>
          <w:p>
            <w:pPr>
              <w:spacing w:after="60" w:line="252"/>
            </w:pP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The SAFE AI framework places in </w:t>
            </w:r>
            <w:r>
              <w:rPr>
                <w:rFonts w:ascii="Calibri" w:cs="Calibri" w:eastAsia="Calibri" w:hAnsi="Calibri"/>
                <w:b/>
                <w:bCs/>
                <w:color w:val="1A0E25"/>
                <w:sz w:val="20"/>
                <w:szCs w:val="20"/>
              </w:rPr>
              <w:t xml:space="preserve">Tier 1</w:t>
            </w: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 analytic or drafting tools that do not decide people's access to assistance, protection or information. This is the normal use of the module: it drafts a document your team reviews and signs.</w:t>
            </w:r>
          </w:p>
          <w:p>
            <w:pPr>
              <w:spacing w:after="6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20"/>
                <w:szCs w:val="20"/>
              </w:rPr>
              <w:t xml:space="preserve">If the report's conclusions are used directly to target, prioritise or decide entitlements</w:t>
            </w: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 (who receives what, which area is served), the use influences decisions about people: it then falls under Tier 2, and the Full card.</w:t>
            </w:r>
          </w:p>
        </w:tc>
      </w:tr>
    </w:tbl>
    <w:p>
      <w:pPr>
        <w:pageBreakBefore/>
      </w:pPr>
    </w:p>
    <w:p>
      <w:pPr>
        <w:pStyle w:val="Heading1"/>
        <w:keepNext/>
        <w:pBdr>
          <w:bottom w:val="single" w:color="3D1576" w:sz="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3D1576"/>
          <w:sz w:val="28"/>
          <w:szCs w:val="28"/>
        </w:rPr>
        <w:t xml:space="preserve">1. System snapshot</w:t>
      </w:r>
    </w:p>
    <w:p>
      <w:pPr>
        <w:spacing w:after="60" w:line="252"/>
      </w:pPr>
      <w:r>
        <w:rPr>
          <w:rFonts w:ascii="Calibri" w:cs="Calibri" w:eastAsia="Calibri" w:hAnsi="Calibri"/>
          <w:b/>
          <w:bCs/>
          <w:color w:val="8A5A00"/>
          <w:sz w:val="18"/>
          <w:szCs w:val="18"/>
        </w:rPr>
        <w:t xml:space="preserve">▲ Section to make public on deployment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color w:val="5A4878"/>
          <w:sz w:val="18"/>
          <w:szCs w:val="18"/>
        </w:rPr>
        <w:t xml:space="preserve">To be completed by: Programme Lead with input from Technical Lead. Purpose: state intent, scope and humanitarian alignment.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0"/>
        <w:gridCol w:w="5838"/>
        <w:gridCol w:w="1650"/>
      </w:tblGrid>
      <w:tr>
        <w:trPr>
          <w:tblHeader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Filled in by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System basics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Name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Opti', Opti Gemba narrative report module.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Version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online service, described as of 26/09/2026. Version used by your organisation: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[date of first use]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Developer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Thomas LEQUEUX Consulting (France), publisher of Opti'.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Models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Mistral Large (question sorting, table reading, drafting) and Mistral Small (light tasks: live progress, figure titles).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Type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generative AI, drafting support. The numbers are not produced by the model: they come from a deterministic calculation on your data.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Purpose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Writing a monitoring or evaluation report takes days of work from an often small MEAL team, at the moment it should mostly be interpreting. The module computes tables and cross-tabulations on the collected responses, then drafts the narrative from those results only.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What it adds compared with fully manual drafting: dozens of cross-tabulations read, numbers computed then re-checked one by one, an exhaustive annex, and time given back to the team for the verification phase.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Why AI is the right tool in your case: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[one sentence specific to your context]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Deployment context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Where used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[country, project, mission, type of report]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Who could be affected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indirectly, the people whose answers are analysed and those concerned by the report's recommendations.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Community-facing, or affecting access to assistance, protection or information?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 ☐ Yes   ☒ No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The module does not interact with communities and decides nothing: it produces a document the team validates. Tick "Yes" if the report is used directly to target or prioritise: the use is then no longer Tier 1.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Architecture and stack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Architecture pathway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☐ Locally-built  ☐ Frugal / small AI  ☐ Open-weight  ☒ Commercial foundation model  ☐ Hybrid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Suppliers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Thomas LEQUEUX Consulting: the Opti' application and application server.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Mistral AI (France): language models, called through the API. Data hosted in the European Union; on the plan used (Scale), inputs and outputs are not used to train the models, and are kept for 30 days for abuse monitoring.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Supabase: database, hosted on Amazon Web Services in Europe.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Key dependencies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internet connection during generation; data loaded in Opti Gemba (Opti' collection, KoboToolbox or imported file); an Opti' account.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Right to audit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Opti's standard terms of use include no audit clause.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[Negotiate it by contract if your policy requires it, or record "no" and inform the oversight body]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Safeguards and known limitations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Humanitarian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the team validates the analysis plan before any calculation; a verification phase submits every reading to the team before drafting (confirm, clarify, reject); the analyst's field notes override any reading of the numbers; a question that measures a logframe indicator cannot be dropped.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Technical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every computed number gets an identifier; drafting may only cite those identifiers; every number in the text is matched against the calculation (confirmed, corrected or flagged); the annex is produced without a model; the source of every number shows on hover.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Legal and ethical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sensitive content encrypted server side (AES-256-GCM), key isolated from the code and the database; no data is used to train a model; GDPR compliant, public privacy policy. The report carries an AI-use statement on its cover with a link to the public method, and a human review block on its last page that is never pre-ticked.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Known limitations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the calculation is exact, the interpretation remains a reading; correlation is not causation; a gap in a small group carries little weight (sample sizes are shown); a poorly designed questionnaire gives exact answers to the wrong questions; a plausible but wrong explanation can get through if the verification phase is skimmed. Full method: myoptibot.com/en/report-methodology/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Sign-off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Senior Responsible Owner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[name]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Role: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[role]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Date: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[DD/MM/YY]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Confirms this section reflects the system as used, and approves proceeding to monitoring. Update on any material change.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Your organisation</w:t>
            </w:r>
          </w:p>
        </w:tc>
      </w:tr>
    </w:tbl>
    <w:p>
      <w:pPr>
        <w:pStyle w:val="Heading1"/>
        <w:keepNext/>
        <w:pBdr>
          <w:bottom w:val="single" w:color="3D1576" w:sz="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3D1576"/>
          <w:sz w:val="28"/>
          <w:szCs w:val="28"/>
        </w:rPr>
        <w:t xml:space="preserve">2. Humanitarian principles red lines screen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color w:val="5A4878"/>
          <w:sz w:val="18"/>
          <w:szCs w:val="18"/>
        </w:rPr>
        <w:t xml:space="preserve">To be completed by: Programme Lead with ethics or legal review. For a Tier 1 use case, any "Yes" or "Potentially" answer escalates to the Full card. Transfer answers from your SAFE AI Impact Assessment.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4338"/>
        <w:gridCol w:w="3800"/>
      </w:tblGrid>
      <w:tr>
        <w:trPr>
          <w:tblHeader/>
        </w:trPr>
        <w:tc>
          <w:tcPr>
            <w:tcW w:type="dxa" w:w="15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Principle</w:t>
            </w:r>
          </w:p>
        </w:tc>
        <w:tc>
          <w:tcPr>
            <w:tcW w:type="dxa" w:w="43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Red line</w:t>
            </w:r>
          </w:p>
        </w:tc>
        <w:tc>
          <w:tcPr>
            <w:tcW w:type="dxa" w:w="38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Answer</w:t>
            </w:r>
          </w:p>
        </w:tc>
      </w:tr>
      <w:tr>
        <w:tc>
          <w:tcPr>
            <w:tcW w:type="dxa" w:w="15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Impartiality</w:t>
            </w:r>
          </w:p>
        </w:tc>
        <w:tc>
          <w:tcPr>
            <w:tcW w:type="dxa" w:w="43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Systemic exclusion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could this system systematically exclude or disadvantage specific groups in ways that cannot be detected and corrected?</w:t>
            </w:r>
          </w:p>
        </w:tc>
        <w:tc>
          <w:tcPr>
            <w:tcW w:type="dxa" w:w="38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☐ Yes  ☒ No  ☐ Potentially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The module selects or ranks no one. Indirect risk: a recommendation based on an under-represented group. Mitigation: sample sizes shown everywhere, small samples flagged, human review.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[to confirm]</w:t>
            </w:r>
          </w:p>
        </w:tc>
      </w:tr>
      <w:tr>
        <w:tc>
          <w:tcPr>
            <w:tcW w:type="dxa" w:w="15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Impartiality</w:t>
            </w:r>
          </w:p>
        </w:tc>
        <w:tc>
          <w:tcPr>
            <w:tcW w:type="dxa" w:w="43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No meaningful redress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are there insufficient mechanisms for affected people to challenge or correct AI-influenced decisions?</w:t>
            </w:r>
          </w:p>
        </w:tc>
        <w:tc>
          <w:tcPr>
            <w:tcW w:type="dxa" w:w="38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☐ Yes  ☒ No  ☐ Potentially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The report takes no decision about people, and all its text remains editable. Redress runs through your existing complaint and feedback mechanisms.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[to confirm]</w:t>
            </w:r>
          </w:p>
        </w:tc>
      </w:tr>
      <w:tr>
        <w:tc>
          <w:tcPr>
            <w:tcW w:type="dxa" w:w="15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Independence</w:t>
            </w:r>
          </w:p>
        </w:tc>
        <w:tc>
          <w:tcPr>
            <w:tcW w:type="dxa" w:w="43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Loss of control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would reliance on suppliers, data providers or infrastructure undermine organisational independence?</w:t>
            </w:r>
          </w:p>
        </w:tc>
        <w:tc>
          <w:tcPr>
            <w:tcW w:type="dxa" w:w="38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☐ Yes  ☒ No  ☐ Potentially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Reports export to Word, PDF, PowerPoint and HTML, and belong to the organisation; collected data can be downloaded at any time. Stopping Opti' does not prevent producing a report another way.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[to confirm]</w:t>
            </w:r>
          </w:p>
        </w:tc>
      </w:tr>
      <w:tr>
        <w:tc>
          <w:tcPr>
            <w:tcW w:type="dxa" w:w="15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Humanity</w:t>
            </w:r>
          </w:p>
        </w:tc>
        <w:tc>
          <w:tcPr>
            <w:tcW w:type="dxa" w:w="43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Harmful outputs at scale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could the system generate or amplify dangerous misinformation at scale?</w:t>
            </w:r>
          </w:p>
        </w:tc>
        <w:tc>
          <w:tcPr>
            <w:tcW w:type="dxa" w:w="38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☐ Yes  ☒ No  ☐ Potentially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One document at a time, reviewed before circulation, no automatic publication.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[to confirm]</w:t>
            </w:r>
          </w:p>
        </w:tc>
      </w:tr>
      <w:tr>
        <w:tc>
          <w:tcPr>
            <w:tcW w:type="dxa" w:w="15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Humanity</w:t>
            </w:r>
          </w:p>
        </w:tc>
        <w:tc>
          <w:tcPr>
            <w:tcW w:type="dxa" w:w="43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Protection and safeguarding risk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could the system create or increase protection risks to affected people or staff?</w:t>
            </w:r>
          </w:p>
        </w:tc>
        <w:tc>
          <w:tcPr>
            <w:tcW w:type="dxa" w:w="38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☐ Yes  ☒ No  ☐ Potentially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Drafting does not create this risk; circulating a report on a sensitive topic (GBV, child protection) can. For such evaluations, revisit this answer and the distribution list.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[to confirm]</w:t>
            </w:r>
          </w:p>
        </w:tc>
      </w:tr>
      <w:tr>
        <w:tc>
          <w:tcPr>
            <w:tcW w:type="dxa" w:w="15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Neutrality</w:t>
            </w:r>
          </w:p>
        </w:tc>
        <w:tc>
          <w:tcPr>
            <w:tcW w:type="dxa" w:w="43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Conflict exposure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could data sources, vendors or hosting create real or perceived alignment with a party to conflict, or enable surveillance or coercion?</w:t>
            </w:r>
          </w:p>
        </w:tc>
        <w:tc>
          <w:tcPr>
            <w:tcW w:type="dxa" w:w="38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☐ Yes  ☒ No  ☐ Potentially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European suppliers, subject to the GDPR; no data shared with third parties beyond the processors listed in section 1.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[to confirm for your context]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0"/>
        <w:gridCol w:w="5838"/>
        <w:gridCol w:w="1650"/>
      </w:tblGrid>
      <w:tr>
        <w:trPr>
          <w:tblHeader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Filled in by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Decision record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Any escalation triggered above? 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[☐ Yes ☐ No]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If Yes, stop the Lean card here and move to the Full card before proceeding.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Decision authority (role, name, date):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[to complete]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Your organisation</w:t>
            </w:r>
          </w:p>
        </w:tc>
      </w:tr>
    </w:tbl>
    <w:p>
      <w:pPr>
        <w:pStyle w:val="Heading1"/>
        <w:keepNext/>
        <w:pBdr>
          <w:bottom w:val="single" w:color="3D1576" w:sz="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3D1576"/>
          <w:sz w:val="28"/>
          <w:szCs w:val="28"/>
        </w:rPr>
        <w:t xml:space="preserve">3. Data and model summary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color w:val="5A4878"/>
          <w:sz w:val="18"/>
          <w:szCs w:val="18"/>
        </w:rPr>
        <w:t xml:space="preserve">To be completed by: Technical Lead. Purpose: minimum transparency on data sources and model choices.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0"/>
        <w:gridCol w:w="5838"/>
        <w:gridCol w:w="1650"/>
      </w:tblGrid>
      <w:tr>
        <w:trPr>
          <w:tblHeader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Filled in by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Data source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Only your organisation's data: collected responses (Opti Gemba, KoboToolbox or imported file), project sheet, logframe, analyst notes, guidance and answers given during the verification phase. No external data.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What the model receives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question labels, the already computed tables, and, to sort the plan's questions, up to four example values per column. Not the dataset row by row.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Scale: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[number of responses, number of questions]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Personal data involved?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[☐ Yes ☐ No]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If the dataset contains identifying columns (names, phone numbers, GPS coordinates), example values from them may be sent to the model while the plan is sorted. Two options: anonymise the dataset before generating the report, or tick "Yes" and reference your DPIA. In the second case, reassess the tier.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Your organisation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Model adaptation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No fine-tuning: models used as supplied by Mistral AI.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Grounding on computed results: drafting may only cite values from the register. Instructions written per phase (indicators, selection, reflection, analyses, deepening, drafting), with explicit prohibitions: inventing a number, announcing a result in a figure title, contradicting a field note, presenting a hypothesis as a fact.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Known limitations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The model writes convincingly, including when a reading is weak: the verification phase and the human review exist for that reason.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A number the check cannot link to any calculation is flagged, not shown as verified: read that count at the end of generation.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The limitations in section 1 apply (interpretation, causality, sample sizes, questionnaire quality).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Sign-off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Senior Responsible Owner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[name]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Role: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[role]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Date: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[DD/MM/YY]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Confirms data and model choices meet minimum requirements for a Tier 1 use case, including any accepted limitations.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Your organisation</w:t>
            </w:r>
          </w:p>
        </w:tc>
      </w:tr>
    </w:tbl>
    <w:p>
      <w:pPr>
        <w:pStyle w:val="Heading1"/>
        <w:keepNext/>
        <w:pBdr>
          <w:bottom w:val="single" w:color="3D1576" w:sz="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3D1576"/>
          <w:sz w:val="28"/>
          <w:szCs w:val="28"/>
        </w:rPr>
        <w:t xml:space="preserve">4. Deployment, monitoring and lifecycle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color w:val="5A4878"/>
          <w:sz w:val="18"/>
          <w:szCs w:val="18"/>
        </w:rPr>
        <w:t xml:space="preserve">To be completed by: Programme Lead with technical input. Purpose: operational readiness, light-touch monitoring and decommissioning.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0"/>
        <w:gridCol w:w="5838"/>
        <w:gridCol w:w="1650"/>
      </w:tblGrid>
      <w:tr>
        <w:trPr>
          <w:tblHeader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Filled in by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Operational readiness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Skills and capacity in place: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[☐ Yes ☐ No]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Recommendation: the person who reviews the report knows the field and can read a cross-tabulation.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Infrastructure readiness: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[☐ Yes ☐ No]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 (a recent browser and an internet connection during generation)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Budget readiness: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[☐ Yes ☐ No]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 (each generation uses one unit of the Opti' plan; see myoptibot.com/tarifs/?lang=en)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Your organisation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Monitoring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Who reviews, on what cycle: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[role, frequency]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Suggestion: every report reviewed by a second person before circulation; this card reviewed once a year.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Reassessment triggers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an Opti' change affecting data or checks (announced in the app and on the method page); a change of model supplier; use of the report to target or prioritise; any incident, for example a wrong number circulated.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Decommissioning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Stopping means no longer using the module: nothing depends on it once the report is exported. Decision: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[responsible role]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Documents produced stay in your files. Project data is deleted from Opti Gemba, and the account on request, under the privacy policy. Mistral AI deletes requests after 30 days.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Sign-off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Named owner for monitoring and review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[name]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Role: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[role]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Date: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[DD/MM/YY]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Your organisation</w:t>
            </w:r>
          </w:p>
        </w:tc>
      </w:tr>
    </w:tbl>
    <w:p>
      <w:pPr>
        <w:pStyle w:val="Heading1"/>
        <w:keepNext/>
        <w:pBdr>
          <w:bottom w:val="single" w:color="3D1576" w:sz="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3D1576"/>
          <w:sz w:val="28"/>
          <w:szCs w:val="28"/>
        </w:rPr>
        <w:t xml:space="preserve">5. Community in the loop and governance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color w:val="5A4878"/>
          <w:sz w:val="18"/>
          <w:szCs w:val="18"/>
        </w:rPr>
        <w:t xml:space="preserve">To be completed by: Programme Lead with legal or ethical review. Purpose: accountability and feedback routes.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0"/>
        <w:gridCol w:w="5838"/>
        <w:gridCol w:w="1650"/>
      </w:tblGrid>
      <w:tr>
        <w:trPr>
          <w:tblHeader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Filled in by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Community-facing check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Does this system interact with crisis-affected communities, or shape decisions affecting their access to assistance, protection or information?  ☐ Y  ☒ N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If the report is used to target or prioritise: "Y", and move to the Full card. Communities remain legitimate recipients of the findings: plan feedback in an accessible format and language.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Accountable lead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Name: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[name]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Role: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[role]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Contact: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[e-mail]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Your organisation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Feedback and redress route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How the team raises a concern (doubtful number, disputed reading):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[internal channel]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; who acts on it: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[role]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On the publisher's side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a tool error is reported to Thomas LEQUEUX Consulting, lequeux-thomas.com/contact-us/.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</w:tbl>
    <w:p>
      <w:pPr>
        <w:pStyle w:val="Heading1"/>
        <w:keepNext/>
        <w:pBdr>
          <w:bottom w:val="single" w:color="3D1576" w:sz="8" w:space="4"/>
        </w:pBdr>
        <w:spacing w:after="120" w:before="320"/>
      </w:pPr>
      <w:r>
        <w:rPr>
          <w:rFonts w:ascii="Calibri" w:cs="Calibri" w:eastAsia="Calibri" w:hAnsi="Calibri"/>
          <w:b/>
          <w:bCs/>
          <w:color w:val="3D1576"/>
          <w:sz w:val="28"/>
          <w:szCs w:val="28"/>
        </w:rPr>
        <w:t xml:space="preserve">6. References and versioning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color w:val="5A4878"/>
          <w:sz w:val="18"/>
          <w:szCs w:val="18"/>
        </w:rPr>
        <w:t xml:space="preserve">To be completed by: Technical Lead with Programme and oversight input. Purpose: audit trail, version management and continuity over time.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0"/>
        <w:gridCol w:w="5838"/>
        <w:gridCol w:w="1650"/>
      </w:tblGrid>
      <w:tr>
        <w:trPr>
          <w:tblHeader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Filled in by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Linked documents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Report method, checks and limitations: myoptibot.com/en/report-methodology/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Opti' privacy policy: lequeux-thomas.com/addin/site/legal/en/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Ethical AI and data protection: myoptibot.com/en/ethical-ai-humanitarian/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Mistral AI data processing addendum (DPA): legal.mistral.ai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SAFE AI Tools &amp; Guidance v1.1, CDAC Network: cdacnetwork.org/safe-ai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Your SAFE AI Impact Assessment: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[reference]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Your data protection impact assessment (DPIA), if any: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[reference]</w:t>
            </w:r>
          </w:p>
          <w:p>
            <w:pPr>
              <w:spacing w:after="50" w:line="252"/>
              <w:ind w:left="260" w:hanging="200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• Your applicable policies (data protection, use of AI):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[references]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Opti', for you to confirm</w:t>
            </w:r>
          </w:p>
        </w:tc>
      </w:tr>
      <w:tr>
        <w:trPr>
          <w:cantSplit w:val="false"/>
        </w:trPr>
        <w:tc>
          <w:tcPr>
            <w:tcW w:type="dxa" w:w="21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FAF7F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Sign-off</w:t>
            </w:r>
          </w:p>
        </w:tc>
        <w:tc>
          <w:tcPr>
            <w:tcW w:type="dxa" w:w="58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This card is the minimum governance record for this AI use and should be updated if the use changes. The Senior Responsible Owner confirms the record is complete and current.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1A0E25"/>
                <w:sz w:val="19"/>
                <w:szCs w:val="19"/>
              </w:rPr>
              <w:t xml:space="preserve">Senior Responsible Owner</w:t>
            </w: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[name]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Role: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[role]</w:t>
            </w:r>
          </w:p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Date: </w:t>
            </w:r>
            <w:r>
              <w:rPr>
                <w:rFonts w:ascii="Calibri" w:cs="Calibri" w:eastAsia="Calibri" w:hAnsi="Calibri"/>
                <w:i/>
                <w:iCs/>
                <w:color w:val="8A5A00"/>
                <w:sz w:val="19"/>
                <w:szCs w:val="19"/>
                <w:highlight w:val="yellow"/>
                <w:highlightCs w:val="yellow"/>
              </w:rPr>
              <w:t xml:space="preserve">[DD/MM/YY]</w:t>
            </w:r>
          </w:p>
        </w:tc>
        <w:tc>
          <w:tcPr>
            <w:tcW w:type="dxa" w:w="165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5A4878"/>
                <w:sz w:val="17"/>
                <w:szCs w:val="17"/>
              </w:rPr>
              <w:t xml:space="preserve">Your organisation</w:t>
            </w:r>
          </w:p>
        </w:tc>
      </w:tr>
    </w:tbl>
    <w:p>
      <w:pPr>
        <w:spacing w:after="160"/>
      </w:pPr>
    </w:p>
    <w:p>
      <w:pPr>
        <w:spacing w:after="60" w:line="252"/>
      </w:pPr>
      <w:r>
        <w:rPr>
          <w:rFonts w:ascii="Calibri" w:cs="Calibri" w:eastAsia="Calibri" w:hAnsi="Calibri"/>
          <w:b/>
          <w:bCs/>
          <w:color w:val="3D1576"/>
          <w:sz w:val="21"/>
          <w:szCs w:val="21"/>
        </w:rPr>
        <w:t xml:space="preserve">Version control table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color w:val="5A4878"/>
          <w:sz w:val="18"/>
          <w:szCs w:val="18"/>
        </w:rPr>
        <w:t xml:space="preserve">Update on each material change: model or tool update, supplier change, scope change, identified incident, or scheduled review.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700"/>
        <w:gridCol w:w="3300"/>
        <w:gridCol w:w="3538"/>
      </w:tblGrid>
      <w:tr>
        <w:trPr>
          <w:tblHeader/>
        </w:trPr>
        <w:tc>
          <w:tcPr>
            <w:tcW w:type="dxa" w:w="11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 (DD/MM/YY)</w:t>
            </w:r>
          </w:p>
        </w:tc>
        <w:tc>
          <w:tcPr>
            <w:tcW w:type="dxa" w:w="33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Approver (name and contact)</w:t>
            </w:r>
          </w:p>
        </w:tc>
        <w:tc>
          <w:tcPr>
            <w:tcW w:type="dxa" w:w="35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shd w:fill="3D1576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Reason</w:t>
            </w:r>
          </w:p>
        </w:tc>
      </w:tr>
      <w:tr>
        <w:tc>
          <w:tcPr>
            <w:tcW w:type="dxa" w:w="11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0.1</w:t>
            </w:r>
          </w:p>
        </w:tc>
        <w:tc>
          <w:tcPr>
            <w:tcW w:type="dxa" w:w="17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26/09/26</w:t>
            </w:r>
          </w:p>
        </w:tc>
        <w:tc>
          <w:tcPr>
            <w:tcW w:type="dxa" w:w="33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Opti' (Thomas LEQUEUX Consulting)</w:t>
            </w:r>
          </w:p>
        </w:tc>
        <w:tc>
          <w:tcPr>
            <w:tcW w:type="dxa" w:w="35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  <w:r>
              <w:rPr>
                <w:rFonts w:ascii="Calibri" w:cs="Calibri" w:eastAsia="Calibri" w:hAnsi="Calibri"/>
                <w:color w:val="1A0E25"/>
                <w:sz w:val="19"/>
                <w:szCs w:val="19"/>
              </w:rPr>
              <w:t xml:space="preserve">Pre-filled from Opti's public documentation</w:t>
            </w:r>
          </w:p>
        </w:tc>
      </w:tr>
      <w:tr>
        <w:tc>
          <w:tcPr>
            <w:tcW w:type="dxa" w:w="11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17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33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35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</w:tr>
      <w:tr>
        <w:tc>
          <w:tcPr>
            <w:tcW w:type="dxa" w:w="11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17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33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35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</w:tr>
      <w:tr>
        <w:tc>
          <w:tcPr>
            <w:tcW w:type="dxa" w:w="11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17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3300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  <w:tc>
          <w:tcPr>
            <w:tcW w:type="dxa" w:w="3538"/>
            <w:tcBorders>
              <w:top w:val="single" w:color="D0C8E0" w:sz="4"/>
              <w:left w:val="single" w:color="D0C8E0" w:sz="4"/>
              <w:bottom w:val="single" w:color="D0C8E0" w:sz="4"/>
              <w:right w:val="single" w:color="D0C8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50" w:line="252"/>
            </w:pP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3D1576" w:sz="24"/>
              <w:bottom w:val="none" w:color="FFFFFF" w:sz="0"/>
              <w:right w:val="none" w:color="FFFFFF" w:sz="0"/>
            </w:tcBorders>
            <w:shd w:fill="F4EAFA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3D1576"/>
                <w:sz w:val="21"/>
                <w:szCs w:val="21"/>
              </w:rPr>
              <w:t xml:space="preserve">Remember</w:t>
            </w:r>
          </w:p>
          <w:p>
            <w:pPr>
              <w:spacing w:after="60" w:line="252"/>
            </w:pPr>
            <w:r>
              <w:rPr>
                <w:rFonts w:ascii="Calibri" w:cs="Calibri" w:eastAsia="Calibri" w:hAnsi="Calibri"/>
                <w:color w:val="1A0E25"/>
                <w:sz w:val="20"/>
                <w:szCs w:val="20"/>
              </w:rPr>
              <w:t xml:space="preserve">From the framework: "If it's not captured in the Transparency Card, it is not considered governed by SAFE AI."</w:t>
            </w:r>
          </w:p>
        </w:tc>
      </w:tr>
    </w:tbl>
    <w:sectPr>
      <w:headerReference w:type="default" r:id="rId7"/>
      <w:footerReference w:type="default" r:id="rId8"/>
      <w:footerReference w:type="first" r:id="rId9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5A4878"/>
        <w:sz w:val="15"/>
        <w:szCs w:val="15"/>
      </w:rPr>
      <w:t xml:space="preserve">Card pre-filled by Opti' · myoptibot.com · to be completed and adapted by your organisation</w:t>
    </w:r>
    <w:r>
      <w:rPr>
        <w:rFonts w:ascii="Calibri" w:cs="Calibri" w:eastAsia="Calibri" w:hAnsi="Calibri"/>
        <w:color w:val="5A4878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A4878"/>
        <w:sz w:val="15"/>
        <w:szCs w:val="15"/>
      </w:rPr>
      <w:t xml:space="preserve">Card pre-filled by Opti' · myoptibot.com · to be completed and adapted by your organisation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A4878"/>
        <w:sz w:val="15"/>
        <w:szCs w:val="15"/>
      </w:rPr>
      <w:t xml:space="preserve">SAFE AI Transparency Card · Lean version · Writing an evaluation report with Opti'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3D157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8a0fbb5acc78ddac30861d92e4e15c8dfdb3467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AI Transparency Card : Writing an evaluation report with Opti'</dc:title>
  <dc:creator>Opti' · Thomas LEQUEUX Consulting</dc:creator>
  <cp:lastModifiedBy>Un-named</cp:lastModifiedBy>
  <cp:revision>1</cp:revision>
  <dcterms:created xsi:type="dcterms:W3CDTF">2026-10-01T03:17:27.561Z</dcterms:created>
  <dcterms:modified xsi:type="dcterms:W3CDTF">2026-10-01T03:17:27.561Z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